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63" w:rsidRPr="00756A63" w:rsidRDefault="00756A63" w:rsidP="00756A63">
      <w:pPr>
        <w:shd w:val="clear" w:color="auto" w:fill="F3F2E2"/>
        <w:spacing w:after="0" w:line="240" w:lineRule="auto"/>
        <w:rPr>
          <w:rFonts w:ascii="Arial" w:eastAsia="Times New Roman" w:hAnsi="Arial" w:cs="Arial"/>
          <w:color w:val="3D3F43"/>
          <w:sz w:val="2"/>
          <w:szCs w:val="2"/>
        </w:rPr>
      </w:pPr>
    </w:p>
    <w:p w:rsidR="00756A63" w:rsidRDefault="00756A63" w:rsidP="00756A63">
      <w:pPr>
        <w:shd w:val="clear" w:color="auto" w:fill="FFFFFF"/>
        <w:spacing w:after="80" w:line="400" w:lineRule="atLeast"/>
        <w:outlineLvl w:val="0"/>
        <w:rPr>
          <w:rFonts w:eastAsia="Times New Roman" w:cs="Times New Roman"/>
          <w:b/>
          <w:bCs/>
          <w:color w:val="000000"/>
          <w:kern w:val="36"/>
          <w:sz w:val="34"/>
          <w:szCs w:val="34"/>
        </w:rPr>
      </w:pPr>
      <w:r w:rsidRPr="00756A63">
        <w:rPr>
          <w:rFonts w:ascii="Helvetica" w:eastAsia="Times New Roman" w:hAnsi="Helvetica" w:cs="Times New Roman"/>
          <w:b/>
          <w:bCs/>
          <w:color w:val="000000"/>
          <w:kern w:val="36"/>
          <w:sz w:val="34"/>
          <w:szCs w:val="34"/>
        </w:rPr>
        <w:t>ЗА ЧТО И КАК МОЖНО ОТКЛЮЧАТЬ САДОВОДА ОТ ЭЛЕКТРИЧЕСТВА</w:t>
      </w:r>
      <w:r>
        <w:rPr>
          <w:rFonts w:eastAsia="Times New Roman" w:cs="Times New Roman"/>
          <w:b/>
          <w:bCs/>
          <w:color w:val="000000"/>
          <w:kern w:val="36"/>
          <w:sz w:val="34"/>
          <w:szCs w:val="34"/>
        </w:rPr>
        <w:t>.</w:t>
      </w:r>
    </w:p>
    <w:p w:rsidR="00756A63" w:rsidRPr="00756A63" w:rsidRDefault="00756A63" w:rsidP="00756A63">
      <w:pPr>
        <w:shd w:val="clear" w:color="auto" w:fill="FFFFFF"/>
        <w:spacing w:after="80" w:line="400" w:lineRule="atLeast"/>
        <w:outlineLvl w:val="0"/>
        <w:rPr>
          <w:rFonts w:eastAsia="Times New Roman" w:cs="Times New Roman"/>
          <w:b/>
          <w:bCs/>
          <w:color w:val="000000"/>
          <w:kern w:val="36"/>
          <w:sz w:val="34"/>
          <w:szCs w:val="34"/>
        </w:rPr>
      </w:pP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Актуальная тема для наших граждан, которые являются собственниками земельных участков на территории всевозможных товариществ и кооперативов (СНТ, ДНП, КП и пр.) и которые подключены к электросетям этих же товариществ.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t>За что и как можно отключать садовода от электричества?</w:t>
      </w:r>
    </w:p>
    <w:p w:rsidR="00756A63" w:rsidRPr="00756A63" w:rsidRDefault="00A22A08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>
        <w:rPr>
          <w:rFonts w:asciiTheme="minorHAnsi" w:hAnsiTheme="minorHAnsi"/>
          <w:color w:val="000000"/>
        </w:rPr>
        <w:t>П</w:t>
      </w:r>
      <w:r w:rsidR="00756A63" w:rsidRPr="00756A63">
        <w:rPr>
          <w:rFonts w:ascii="Helvetica" w:hAnsi="Helvetica"/>
          <w:color w:val="000000"/>
        </w:rPr>
        <w:t xml:space="preserve">редседатели </w:t>
      </w:r>
      <w:r w:rsidRPr="00A22A08">
        <w:rPr>
          <w:rFonts w:asciiTheme="minorHAnsi" w:hAnsiTheme="minorHAnsi"/>
          <w:color w:val="000000"/>
          <w:sz w:val="28"/>
          <w:szCs w:val="28"/>
        </w:rPr>
        <w:t xml:space="preserve">действительно имеют право </w:t>
      </w:r>
      <w:r w:rsidR="00756A63" w:rsidRPr="00756A63">
        <w:rPr>
          <w:rFonts w:ascii="Helvetica" w:hAnsi="Helvetica"/>
          <w:color w:val="000000"/>
        </w:rPr>
        <w:t xml:space="preserve">на </w:t>
      </w:r>
      <w:r w:rsidRPr="00756A63">
        <w:rPr>
          <w:rFonts w:ascii="Helvetica" w:hAnsi="Helvetica"/>
          <w:color w:val="000000"/>
        </w:rPr>
        <w:t>отключени</w:t>
      </w:r>
      <w:r>
        <w:rPr>
          <w:rFonts w:asciiTheme="minorHAnsi" w:hAnsiTheme="minorHAnsi"/>
          <w:color w:val="000000"/>
        </w:rPr>
        <w:t xml:space="preserve">е </w:t>
      </w:r>
      <w:r w:rsidRPr="00756A63">
        <w:rPr>
          <w:rFonts w:ascii="Helvetica" w:hAnsi="Helvetica"/>
          <w:color w:val="000000"/>
        </w:rPr>
        <w:t xml:space="preserve">земельного участка </w:t>
      </w:r>
      <w:r>
        <w:rPr>
          <w:rFonts w:ascii="Helvetica" w:hAnsi="Helvetica"/>
          <w:color w:val="000000"/>
        </w:rPr>
        <w:t>садовод</w:t>
      </w:r>
      <w:r>
        <w:rPr>
          <w:rFonts w:asciiTheme="minorHAnsi" w:hAnsiTheme="minorHAnsi"/>
          <w:color w:val="000000"/>
        </w:rPr>
        <w:t>а</w:t>
      </w:r>
      <w:r w:rsidR="00756A63" w:rsidRPr="00756A63">
        <w:rPr>
          <w:rFonts w:ascii="Helvetica" w:hAnsi="Helvetica"/>
          <w:color w:val="000000"/>
        </w:rPr>
        <w:t xml:space="preserve"> от электроэнергии. </w:t>
      </w:r>
      <w:r w:rsidRPr="00A22A08">
        <w:rPr>
          <w:rFonts w:asciiTheme="minorHAnsi" w:hAnsiTheme="minorHAnsi"/>
          <w:color w:val="000000"/>
          <w:sz w:val="28"/>
          <w:szCs w:val="28"/>
        </w:rPr>
        <w:t>В</w:t>
      </w:r>
      <w:r w:rsidR="00756A63" w:rsidRPr="00A22A08">
        <w:rPr>
          <w:rFonts w:ascii="Helvetica" w:hAnsi="Helvetica"/>
          <w:color w:val="000000"/>
          <w:sz w:val="28"/>
          <w:szCs w:val="28"/>
        </w:rPr>
        <w:t xml:space="preserve"> </w:t>
      </w:r>
      <w:r w:rsidR="00756A63" w:rsidRPr="00756A63">
        <w:rPr>
          <w:rFonts w:ascii="Helvetica" w:hAnsi="Helvetica"/>
          <w:color w:val="000000"/>
        </w:rPr>
        <w:t xml:space="preserve">каких случаях действительно товарищество имеет право вводить полное или частичное ограничение поставки электроэнергии на земельный участок садовода? </w:t>
      </w:r>
      <w:r w:rsidR="00756A63" w:rsidRPr="00A22A08">
        <w:rPr>
          <w:rFonts w:ascii="Helvetica" w:hAnsi="Helvetica"/>
          <w:b/>
          <w:color w:val="000000"/>
          <w:u w:val="single"/>
        </w:rPr>
        <w:t>Давайте разбираться</w:t>
      </w:r>
      <w:r w:rsidR="00756A63" w:rsidRPr="00756A63">
        <w:rPr>
          <w:rFonts w:ascii="Helvetica" w:hAnsi="Helvetica"/>
          <w:color w:val="000000"/>
        </w:rPr>
        <w:t>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В данной статье я использовал следующие термины и определения.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t>СНТ</w:t>
      </w:r>
      <w:r w:rsidRPr="00756A63">
        <w:rPr>
          <w:rFonts w:ascii="Helvetica" w:hAnsi="Helvetica"/>
          <w:color w:val="000000"/>
        </w:rPr>
        <w:t> – любое некоммерческое товарищество собственников недвижимости.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t>ЭПУ</w:t>
      </w:r>
      <w:r w:rsidRPr="00756A63">
        <w:rPr>
          <w:rFonts w:ascii="Helvetica" w:hAnsi="Helvetica"/>
          <w:color w:val="000000"/>
        </w:rPr>
        <w:t xml:space="preserve"> – </w:t>
      </w:r>
      <w:proofErr w:type="spellStart"/>
      <w:r w:rsidRPr="00756A63">
        <w:rPr>
          <w:rFonts w:ascii="Helvetica" w:hAnsi="Helvetica"/>
          <w:color w:val="000000"/>
        </w:rPr>
        <w:t>энергопринимающее</w:t>
      </w:r>
      <w:proofErr w:type="spellEnd"/>
      <w:r w:rsidRPr="00756A63">
        <w:rPr>
          <w:rFonts w:ascii="Helvetica" w:hAnsi="Helvetica"/>
          <w:color w:val="000000"/>
        </w:rPr>
        <w:t xml:space="preserve"> устройство (вводной электрический щит, щит учета, вводное устройство) установленное в отношении земельного участка (садового домика, жилого дома) Потребителя.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t>Потребитель</w:t>
      </w:r>
      <w:r w:rsidRPr="00756A63">
        <w:rPr>
          <w:rFonts w:ascii="Helvetica" w:hAnsi="Helvetica"/>
          <w:color w:val="000000"/>
        </w:rPr>
        <w:t> – собственник земельного участка (садового домика, жилого дома) на территории СНТ, ЭПУ которого имеет надлежащее технологическое присоединение к электрическим сетям СНТ.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t>Правила отключения</w:t>
      </w:r>
      <w:r w:rsidRPr="00756A63">
        <w:rPr>
          <w:rFonts w:ascii="Helvetica" w:hAnsi="Helvetica"/>
          <w:color w:val="000000"/>
        </w:rPr>
        <w:t> - правила полного и (или) частичного ограничения режима потребления электрической энергии, утверждённого Постановлением правительства Российской Федерации от 04.05.2012 № 442.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t>Правила КУ</w:t>
      </w:r>
      <w:r w:rsidRPr="00756A63">
        <w:rPr>
          <w:rFonts w:ascii="Helvetica" w:hAnsi="Helvetica"/>
          <w:color w:val="000000"/>
        </w:rPr>
        <w:t> - правила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06.05.2011г. N 354.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t>Надлежащее технологическое присоединение</w:t>
      </w:r>
      <w:r w:rsidRPr="00756A63">
        <w:rPr>
          <w:rFonts w:ascii="Helvetica" w:hAnsi="Helvetica"/>
          <w:color w:val="000000"/>
        </w:rPr>
        <w:t xml:space="preserve"> – присоединение ЭПУ Потребителя к электрическим сетям СНТ в </w:t>
      </w:r>
      <w:proofErr w:type="gramStart"/>
      <w:r w:rsidRPr="00756A63">
        <w:rPr>
          <w:rFonts w:ascii="Helvetica" w:hAnsi="Helvetica"/>
          <w:color w:val="000000"/>
        </w:rPr>
        <w:t>отношении</w:t>
      </w:r>
      <w:proofErr w:type="gramEnd"/>
      <w:r w:rsidRPr="00756A63">
        <w:rPr>
          <w:rFonts w:ascii="Helvetica" w:hAnsi="Helvetica"/>
          <w:color w:val="000000"/>
        </w:rPr>
        <w:t xml:space="preserve"> которого оформлен акт об осуществлении технологического присоединения по форме приложения № 2 к Положению.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t>Отключение – </w:t>
      </w:r>
      <w:r w:rsidRPr="00756A63">
        <w:rPr>
          <w:rFonts w:ascii="Helvetica" w:hAnsi="Helvetica"/>
          <w:color w:val="000000"/>
        </w:rPr>
        <w:t>полное ограничение поставки электрической энергии.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t>Бездоговорное потребление</w:t>
      </w:r>
      <w:r w:rsidRPr="00756A63">
        <w:rPr>
          <w:rFonts w:ascii="Helvetica" w:hAnsi="Helvetica"/>
          <w:color w:val="000000"/>
        </w:rPr>
        <w:t> – самовольное (без согласования с СНТ) технологическое присоединение ЭПУ Потребителя к электрическим сетям СНТ или потребление электрической энергии в отсутствии договора на предоставление коммунальных услуг с СНТ, либо в отсутствии индивидуального лицевого счета Потребителя на электроснабжение у Поставщика.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t>Максимальная мощность</w:t>
      </w:r>
      <w:r w:rsidRPr="00756A63">
        <w:rPr>
          <w:rFonts w:ascii="Helvetica" w:hAnsi="Helvetica"/>
          <w:color w:val="000000"/>
        </w:rPr>
        <w:t> – наибольшая величина мощности, разрешенная к одномоментному использованию Потребителем, указанная в Акте об осуществлении технологического присоединения.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t>Уведомление</w:t>
      </w:r>
      <w:r w:rsidRPr="00756A63">
        <w:rPr>
          <w:rFonts w:ascii="Helvetica" w:hAnsi="Helvetica"/>
          <w:color w:val="000000"/>
        </w:rPr>
        <w:t> – предупреждение в адрес Потребителя об отключении ЭПУ.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lastRenderedPageBreak/>
        <w:t>Председатель СНТ имеет право отключать земельный участок садовода в следующих случаях.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В соответствии с пунктом 2 Правил отключения и пунктами 115, 117 Правил КУ основанием для отключения ЭПУ Потребителя председателем СНТ может быть наступление одного или нескольких следующих обстоятельств: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 xml:space="preserve">1. Возникновение у Потребителя задолженности перед СНТ по оплате электроэнергии, </w:t>
      </w:r>
      <w:proofErr w:type="gramStart"/>
      <w:r w:rsidRPr="00756A63">
        <w:rPr>
          <w:rFonts w:ascii="Helvetica" w:hAnsi="Helvetica"/>
          <w:color w:val="000000"/>
        </w:rPr>
        <w:t>потребляемым</w:t>
      </w:r>
      <w:proofErr w:type="gramEnd"/>
      <w:r w:rsidRPr="00756A63">
        <w:rPr>
          <w:rFonts w:ascii="Helvetica" w:hAnsi="Helvetica"/>
          <w:color w:val="000000"/>
        </w:rPr>
        <w:t xml:space="preserve"> ЭПУ Потребителя.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2. Возникновение у Потребителя задолженности перед СНТ по оплате части стоимости электроэнергии, потребленной объектами инфраструктуры и иного имущества СНТ.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3. Возникновение у Потребителя задолженности перед СНТ по оплате части стоимости потерь электрической энергии, возникших в сетях СНТ.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4. Нарушение характеристик технологического присоединения, указанных в документах о технологическом присоединении (в том числе превышение максимальной мощности ЭПУ потребителя).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5. Получение законного требования в адрес СНТ судебного пристава-исполнителя о введении ограничения режима потребления Потребителя.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6. Выявления факта бездоговорного потребления электрической энергии у Потребителя.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7. Окончание срока, на который осуществлялось технологическое присоединение Потребителя с применением временной схемы электроснабжения, или возникновения основания для его досрочного прекращения.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 xml:space="preserve">8. Возникновение </w:t>
      </w:r>
      <w:proofErr w:type="spellStart"/>
      <w:r w:rsidRPr="00756A63">
        <w:rPr>
          <w:rFonts w:ascii="Helvetica" w:hAnsi="Helvetica"/>
          <w:color w:val="000000"/>
        </w:rPr>
        <w:t>авариных</w:t>
      </w:r>
      <w:proofErr w:type="spellEnd"/>
      <w:r w:rsidRPr="00756A63">
        <w:rPr>
          <w:rFonts w:ascii="Helvetica" w:hAnsi="Helvetica"/>
          <w:color w:val="000000"/>
        </w:rPr>
        <w:t xml:space="preserve"> ситуаций на объектах </w:t>
      </w:r>
      <w:proofErr w:type="spellStart"/>
      <w:r w:rsidRPr="00756A63">
        <w:rPr>
          <w:rFonts w:ascii="Helvetica" w:hAnsi="Helvetica"/>
          <w:color w:val="000000"/>
        </w:rPr>
        <w:t>электросетевого</w:t>
      </w:r>
      <w:proofErr w:type="spellEnd"/>
      <w:r w:rsidRPr="00756A63">
        <w:rPr>
          <w:rFonts w:ascii="Helvetica" w:hAnsi="Helvetica"/>
          <w:color w:val="000000"/>
        </w:rPr>
        <w:t xml:space="preserve"> хозяйства СНТ или в сетях внешнего электроснабжения, возникновение стихийных бедствий или чрезвычайных ситуаций, повлекших отключение электроэнергии в сетях СНТ.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9. Выявление подключения в отношении ЭПУ земельного участка, в отношении которого не зарегистрированы права собственности.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t>Порядок отключения.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proofErr w:type="spellStart"/>
      <w:r w:rsidRPr="00756A63">
        <w:rPr>
          <w:rFonts w:ascii="Helvetica" w:hAnsi="Helvetica"/>
          <w:color w:val="000000"/>
        </w:rPr>
        <w:t>ü</w:t>
      </w:r>
      <w:proofErr w:type="spellEnd"/>
      <w:r w:rsidRPr="00756A63">
        <w:rPr>
          <w:rFonts w:ascii="Helvetica" w:hAnsi="Helvetica"/>
          <w:color w:val="000000"/>
        </w:rPr>
        <w:t xml:space="preserve"> Отключение производиться путем отключения коммутационного аппарата в ЭПУ Потребителя персоналом СНТ или отсоединением проводов в сторону ЭПУ Потребителя от объектов </w:t>
      </w:r>
      <w:proofErr w:type="spellStart"/>
      <w:r w:rsidRPr="00756A63">
        <w:rPr>
          <w:rFonts w:ascii="Helvetica" w:hAnsi="Helvetica"/>
          <w:color w:val="000000"/>
        </w:rPr>
        <w:t>электросетевого</w:t>
      </w:r>
      <w:proofErr w:type="spellEnd"/>
      <w:r w:rsidRPr="00756A63">
        <w:rPr>
          <w:rFonts w:ascii="Helvetica" w:hAnsi="Helvetica"/>
          <w:color w:val="000000"/>
        </w:rPr>
        <w:t xml:space="preserve"> хозяйства СНТ.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proofErr w:type="spellStart"/>
      <w:r w:rsidRPr="00756A63">
        <w:rPr>
          <w:rFonts w:ascii="Helvetica" w:hAnsi="Helvetica"/>
          <w:color w:val="000000"/>
        </w:rPr>
        <w:t>ü</w:t>
      </w:r>
      <w:proofErr w:type="spellEnd"/>
      <w:r w:rsidRPr="00756A63">
        <w:rPr>
          <w:rFonts w:ascii="Helvetica" w:hAnsi="Helvetica"/>
          <w:color w:val="000000"/>
        </w:rPr>
        <w:t xml:space="preserve"> Отключение производиться (глава XI Правил КУ, пункты 5, 6 Правил отключения):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а) с Уведомлением Потребителя в связи с наступлением обстоятельств, указанных в п. 1-3 настоящей статьи;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б) без Уведомления Потребителя в связи с наступлением обстоятельств, указанных в п. 4-9 настоящей статьи.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b/>
          <w:bCs/>
          <w:color w:val="000000"/>
        </w:rPr>
        <w:t>Порядок направления уведомления.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lastRenderedPageBreak/>
        <w:t>СНТ направляет Уведомление о том, что в случае непогашения задолженности по оплате электроэнергии со дня доставки Потребителю Уведомления поставка электрической энергии ему может быть приостановлена: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 xml:space="preserve">а) через 10 дней с момента доставки Уведомления </w:t>
      </w:r>
      <w:proofErr w:type="gramStart"/>
      <w:r w:rsidRPr="00756A63">
        <w:rPr>
          <w:rFonts w:ascii="Helvetica" w:hAnsi="Helvetica"/>
          <w:color w:val="000000"/>
        </w:rPr>
        <w:t>Потребителю</w:t>
      </w:r>
      <w:proofErr w:type="gramEnd"/>
      <w:r w:rsidRPr="00756A63">
        <w:rPr>
          <w:rFonts w:ascii="Helvetica" w:hAnsi="Helvetica"/>
          <w:color w:val="000000"/>
        </w:rPr>
        <w:t xml:space="preserve"> если ЭПУ установлен в отношении нежилого помещения (садового домика, земельного участка);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 xml:space="preserve">б) через 20 дней с момента доставки Уведомления </w:t>
      </w:r>
      <w:proofErr w:type="gramStart"/>
      <w:r w:rsidRPr="00756A63">
        <w:rPr>
          <w:rFonts w:ascii="Helvetica" w:hAnsi="Helvetica"/>
          <w:color w:val="000000"/>
        </w:rPr>
        <w:t>Потребителю</w:t>
      </w:r>
      <w:proofErr w:type="gramEnd"/>
      <w:r w:rsidRPr="00756A63">
        <w:rPr>
          <w:rFonts w:ascii="Helvetica" w:hAnsi="Helvetica"/>
          <w:color w:val="000000"/>
        </w:rPr>
        <w:t xml:space="preserve"> если ЭПУ установлен в отношении жилого помещения (жилого дома).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Уведомление Потребителя направляется любым из следующих способов (п. 119 Правил КУ):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а) путем вручения Потребителю под расписку;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б) направления по почте заказным письмом (с уведомлением о вручении);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в) путем включения Уведомления в платежный документ для внесения платы за электроэнергию;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г) путем передачи потребителю предупреждения (уведомления) посредством сообщения по сети подвижной радиотелефонной связи на пользовательское оборудование Потребителя (</w:t>
      </w:r>
      <w:proofErr w:type="spellStart"/>
      <w:r w:rsidRPr="00756A63">
        <w:rPr>
          <w:rFonts w:ascii="Helvetica" w:hAnsi="Helvetica"/>
          <w:color w:val="000000"/>
        </w:rPr>
        <w:t>смс</w:t>
      </w:r>
      <w:proofErr w:type="spellEnd"/>
      <w:r w:rsidRPr="00756A63">
        <w:rPr>
          <w:rFonts w:ascii="Helvetica" w:hAnsi="Helvetica"/>
          <w:color w:val="000000"/>
        </w:rPr>
        <w:t xml:space="preserve">, </w:t>
      </w:r>
      <w:proofErr w:type="spellStart"/>
      <w:r w:rsidRPr="00756A63">
        <w:rPr>
          <w:rFonts w:ascii="Helvetica" w:hAnsi="Helvetica"/>
          <w:color w:val="000000"/>
        </w:rPr>
        <w:t>ватсап</w:t>
      </w:r>
      <w:proofErr w:type="spellEnd"/>
      <w:r w:rsidRPr="00756A63">
        <w:rPr>
          <w:rFonts w:ascii="Helvetica" w:hAnsi="Helvetica"/>
          <w:color w:val="000000"/>
        </w:rPr>
        <w:t xml:space="preserve">, </w:t>
      </w:r>
      <w:proofErr w:type="spellStart"/>
      <w:r w:rsidRPr="00756A63">
        <w:rPr>
          <w:rFonts w:ascii="Helvetica" w:hAnsi="Helvetica"/>
          <w:color w:val="000000"/>
        </w:rPr>
        <w:t>вайбер</w:t>
      </w:r>
      <w:proofErr w:type="spellEnd"/>
      <w:r w:rsidRPr="00756A63">
        <w:rPr>
          <w:rFonts w:ascii="Helvetica" w:hAnsi="Helvetica"/>
          <w:color w:val="000000"/>
        </w:rPr>
        <w:t xml:space="preserve"> и др.);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proofErr w:type="spellStart"/>
      <w:r w:rsidRPr="00756A63">
        <w:rPr>
          <w:rFonts w:ascii="Helvetica" w:hAnsi="Helvetica"/>
          <w:color w:val="000000"/>
        </w:rPr>
        <w:t>д</w:t>
      </w:r>
      <w:proofErr w:type="spellEnd"/>
      <w:r w:rsidRPr="00756A63">
        <w:rPr>
          <w:rFonts w:ascii="Helvetica" w:hAnsi="Helvetica"/>
          <w:color w:val="000000"/>
        </w:rPr>
        <w:t>) телефонного звонка с записью разговора с Потребителем;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е) сообщения на электронную почту Потребителя;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ж) размещения Уведомления на странице СНТ в сети Интернет;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proofErr w:type="spellStart"/>
      <w:r w:rsidRPr="00756A63">
        <w:rPr>
          <w:rFonts w:ascii="Helvetica" w:hAnsi="Helvetica"/>
          <w:color w:val="000000"/>
        </w:rPr>
        <w:t>з</w:t>
      </w:r>
      <w:proofErr w:type="spellEnd"/>
      <w:r w:rsidRPr="00756A63">
        <w:rPr>
          <w:rFonts w:ascii="Helvetica" w:hAnsi="Helvetica"/>
          <w:color w:val="000000"/>
        </w:rPr>
        <w:t>) передачи потребителю голосовой информации по сети фиксированной телефонной связи.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Способы Уведомления, указанные в п.п. г), е), ж) должны быть согласованы с Потребителем в договоре возмещения затрат или иным документом.</w:t>
      </w:r>
    </w:p>
    <w:p w:rsid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Theme="minorHAnsi" w:hAnsiTheme="minorHAnsi"/>
          <w:color w:val="000000"/>
        </w:rPr>
      </w:pP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200" w:afterAutospacing="0"/>
        <w:ind w:firstLine="709"/>
        <w:jc w:val="both"/>
        <w:rPr>
          <w:rFonts w:ascii="Helvetica" w:hAnsi="Helvetica"/>
          <w:color w:val="000000"/>
        </w:rPr>
      </w:pPr>
      <w:proofErr w:type="spellStart"/>
      <w:r w:rsidRPr="00756A63">
        <w:rPr>
          <w:rFonts w:ascii="Helvetica" w:hAnsi="Helvetica"/>
          <w:color w:val="000000"/>
        </w:rPr>
        <w:t>Энергоэксперт</w:t>
      </w:r>
      <w:proofErr w:type="spellEnd"/>
      <w:r w:rsidRPr="00756A63">
        <w:rPr>
          <w:rFonts w:ascii="Helvetica" w:hAnsi="Helvetica"/>
          <w:color w:val="000000"/>
        </w:rPr>
        <w:t xml:space="preserve"> Фирсов Александр</w:t>
      </w:r>
    </w:p>
    <w:p w:rsidR="00756A63" w:rsidRPr="00756A63" w:rsidRDefault="00756A63" w:rsidP="00756A63">
      <w:pPr>
        <w:pStyle w:val="blockblock-3c"/>
        <w:shd w:val="clear" w:color="auto" w:fill="FFFFFF"/>
        <w:spacing w:before="60" w:beforeAutospacing="0" w:after="0" w:afterAutospacing="0"/>
        <w:ind w:firstLine="709"/>
        <w:jc w:val="both"/>
        <w:rPr>
          <w:rFonts w:ascii="Helvetica" w:hAnsi="Helvetica"/>
          <w:color w:val="000000"/>
        </w:rPr>
      </w:pPr>
      <w:r w:rsidRPr="00756A63">
        <w:rPr>
          <w:rFonts w:ascii="Helvetica" w:hAnsi="Helvetica"/>
          <w:color w:val="000000"/>
        </w:rPr>
        <w:t>energoexpert@bk.ru</w:t>
      </w:r>
    </w:p>
    <w:p w:rsidR="00000000" w:rsidRDefault="00485DEA"/>
    <w:p w:rsidR="00793275" w:rsidRDefault="00793275">
      <w:r>
        <w:br w:type="page"/>
      </w:r>
    </w:p>
    <w:p w:rsidR="00793275" w:rsidRDefault="00793275">
      <w:r>
        <w:lastRenderedPageBreak/>
        <w:br w:type="page"/>
      </w:r>
    </w:p>
    <w:p w:rsidR="00793275" w:rsidRPr="00793275" w:rsidRDefault="00793275" w:rsidP="00793275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14"/>
          <w:szCs w:val="14"/>
        </w:rPr>
      </w:pPr>
      <w:hyperlink r:id="rId4" w:tooltip="на главную страницу" w:history="1">
        <w:proofErr w:type="spellStart"/>
        <w:r w:rsidRPr="00793275">
          <w:rPr>
            <w:rFonts w:ascii="Roboto" w:eastAsia="Times New Roman" w:hAnsi="Roboto" w:cs="Times New Roman"/>
            <w:color w:val="824528"/>
            <w:sz w:val="30"/>
          </w:rPr>
          <w:t>Лутовинов</w:t>
        </w:r>
        <w:proofErr w:type="spellEnd"/>
        <w:r w:rsidRPr="00793275">
          <w:rPr>
            <w:rFonts w:ascii="Roboto" w:eastAsia="Times New Roman" w:hAnsi="Roboto" w:cs="Times New Roman"/>
            <w:color w:val="824528"/>
            <w:sz w:val="30"/>
          </w:rPr>
          <w:t> Дмитрий Анатольевич</w:t>
        </w:r>
      </w:hyperlink>
      <w:r w:rsidRPr="00793275">
        <w:rPr>
          <w:rFonts w:ascii="Roboto" w:eastAsia="Times New Roman" w:hAnsi="Roboto" w:cs="Times New Roman"/>
          <w:color w:val="333333"/>
          <w:sz w:val="14"/>
          <w:szCs w:val="14"/>
        </w:rPr>
        <w:t> </w:t>
      </w:r>
      <w:r w:rsidRPr="00793275">
        <w:rPr>
          <w:rFonts w:ascii="RobotoLight" w:eastAsia="Times New Roman" w:hAnsi="RobotoLight" w:cs="Times New Roman"/>
          <w:color w:val="9C7856"/>
          <w:sz w:val="20"/>
        </w:rPr>
        <w:t>практикующий адвокат в Новосибирске</w:t>
      </w:r>
    </w:p>
    <w:p w:rsidR="00793275" w:rsidRPr="00793275" w:rsidRDefault="00793275" w:rsidP="00793275">
      <w:pPr>
        <w:shd w:val="clear" w:color="auto" w:fill="FFFFFF"/>
        <w:spacing w:after="0" w:line="240" w:lineRule="auto"/>
        <w:rPr>
          <w:rFonts w:ascii="RobotoLight" w:eastAsia="Times New Roman" w:hAnsi="RobotoLight" w:cs="Times New Roman"/>
          <w:color w:val="333333"/>
          <w:sz w:val="14"/>
          <w:szCs w:val="14"/>
        </w:rPr>
      </w:pPr>
      <w:r w:rsidRPr="00793275">
        <w:rPr>
          <w:rFonts w:ascii="RobotoLight" w:eastAsia="Times New Roman" w:hAnsi="RobotoLight" w:cs="Times New Roman"/>
          <w:color w:val="9C7856"/>
          <w:sz w:val="20"/>
        </w:rPr>
        <w:t>г</w:t>
      </w:r>
      <w:proofErr w:type="gramStart"/>
      <w:r w:rsidRPr="00793275">
        <w:rPr>
          <w:rFonts w:ascii="RobotoLight" w:eastAsia="Times New Roman" w:hAnsi="RobotoLight" w:cs="Times New Roman"/>
          <w:color w:val="9C7856"/>
          <w:sz w:val="20"/>
        </w:rPr>
        <w:t>.Н</w:t>
      </w:r>
      <w:proofErr w:type="gramEnd"/>
      <w:r w:rsidRPr="00793275">
        <w:rPr>
          <w:rFonts w:ascii="RobotoLight" w:eastAsia="Times New Roman" w:hAnsi="RobotoLight" w:cs="Times New Roman"/>
          <w:color w:val="9C7856"/>
          <w:sz w:val="20"/>
        </w:rPr>
        <w:t>овосибирск</w:t>
      </w:r>
      <w:r w:rsidRPr="00793275">
        <w:rPr>
          <w:rFonts w:ascii="RobotoLight" w:eastAsia="Times New Roman" w:hAnsi="RobotoLight" w:cs="Times New Roman"/>
          <w:color w:val="333333"/>
          <w:sz w:val="14"/>
          <w:szCs w:val="14"/>
        </w:rPr>
        <w:t> </w:t>
      </w:r>
      <w:proofErr w:type="spellStart"/>
      <w:r w:rsidRPr="00793275">
        <w:rPr>
          <w:rFonts w:ascii="RobotoLight" w:eastAsia="Times New Roman" w:hAnsi="RobotoLight" w:cs="Times New Roman"/>
          <w:color w:val="9C7856"/>
          <w:sz w:val="12"/>
        </w:rPr>
        <w:t>ул.Б.Богаткова</w:t>
      </w:r>
      <w:proofErr w:type="spellEnd"/>
      <w:r w:rsidRPr="00793275">
        <w:rPr>
          <w:rFonts w:ascii="RobotoLight" w:eastAsia="Times New Roman" w:hAnsi="RobotoLight" w:cs="Times New Roman"/>
          <w:color w:val="9C7856"/>
          <w:sz w:val="12"/>
        </w:rPr>
        <w:t xml:space="preserve">, 210/1, </w:t>
      </w:r>
      <w:proofErr w:type="spellStart"/>
      <w:r w:rsidRPr="00793275">
        <w:rPr>
          <w:rFonts w:ascii="RobotoLight" w:eastAsia="Times New Roman" w:hAnsi="RobotoLight" w:cs="Times New Roman"/>
          <w:color w:val="9C7856"/>
          <w:sz w:val="12"/>
        </w:rPr>
        <w:t>оф</w:t>
      </w:r>
      <w:proofErr w:type="spellEnd"/>
      <w:r w:rsidRPr="00793275">
        <w:rPr>
          <w:rFonts w:ascii="RobotoLight" w:eastAsia="Times New Roman" w:hAnsi="RobotoLight" w:cs="Times New Roman"/>
          <w:color w:val="9C7856"/>
          <w:sz w:val="12"/>
        </w:rPr>
        <w:t>. 813</w:t>
      </w:r>
    </w:p>
    <w:p w:rsidR="00793275" w:rsidRPr="00793275" w:rsidRDefault="00793275" w:rsidP="00793275">
      <w:pPr>
        <w:shd w:val="clear" w:color="auto" w:fill="FFFFFF"/>
        <w:spacing w:after="0" w:line="240" w:lineRule="auto"/>
        <w:jc w:val="right"/>
        <w:rPr>
          <w:rFonts w:ascii="RobotoLight" w:eastAsia="Times New Roman" w:hAnsi="RobotoLight" w:cs="Times New Roman"/>
          <w:color w:val="333333"/>
          <w:sz w:val="14"/>
          <w:szCs w:val="14"/>
        </w:rPr>
      </w:pPr>
      <w:hyperlink r:id="rId5" w:history="1">
        <w:r w:rsidRPr="00793275">
          <w:rPr>
            <w:rFonts w:ascii="RobotoLight" w:eastAsia="Times New Roman" w:hAnsi="RobotoLight" w:cs="Times New Roman"/>
            <w:color w:val="9C7856"/>
            <w:sz w:val="20"/>
          </w:rPr>
          <w:t>8-913-987-93-84</w:t>
        </w:r>
      </w:hyperlink>
      <w:r w:rsidRPr="00793275">
        <w:rPr>
          <w:rFonts w:ascii="RobotoLight" w:eastAsia="Times New Roman" w:hAnsi="RobotoLight" w:cs="Times New Roman"/>
          <w:color w:val="333333"/>
          <w:sz w:val="14"/>
          <w:szCs w:val="14"/>
        </w:rPr>
        <w:t> </w:t>
      </w:r>
    </w:p>
    <w:sectPr w:rsidR="00793275" w:rsidRPr="0079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56A63"/>
    <w:rsid w:val="00485DEA"/>
    <w:rsid w:val="00756A63"/>
    <w:rsid w:val="00793275"/>
    <w:rsid w:val="00A2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56A63"/>
    <w:rPr>
      <w:color w:val="0000FF"/>
      <w:u w:val="single"/>
    </w:rPr>
  </w:style>
  <w:style w:type="character" w:customStyle="1" w:styleId="s6bf68278">
    <w:name w:val="s6bf68278"/>
    <w:basedOn w:val="a0"/>
    <w:rsid w:val="00756A63"/>
  </w:style>
  <w:style w:type="character" w:customStyle="1" w:styleId="ya-unit-category">
    <w:name w:val="ya-unit-category"/>
    <w:basedOn w:val="a0"/>
    <w:rsid w:val="00756A63"/>
  </w:style>
  <w:style w:type="character" w:customStyle="1" w:styleId="ya-unit-domain">
    <w:name w:val="ya-unit-domain"/>
    <w:basedOn w:val="a0"/>
    <w:rsid w:val="00756A63"/>
  </w:style>
  <w:style w:type="character" w:customStyle="1" w:styleId="ui-lib-channel-infosubtitle-text">
    <w:name w:val="ui-lib-channel-info__subtitle-text"/>
    <w:basedOn w:val="a0"/>
    <w:rsid w:val="00756A63"/>
  </w:style>
  <w:style w:type="paragraph" w:styleId="a4">
    <w:name w:val="Balloon Text"/>
    <w:basedOn w:val="a"/>
    <w:link w:val="a5"/>
    <w:uiPriority w:val="99"/>
    <w:semiHidden/>
    <w:unhideWhenUsed/>
    <w:rsid w:val="00756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A63"/>
    <w:rPr>
      <w:rFonts w:ascii="Tahoma" w:hAnsi="Tahoma" w:cs="Tahoma"/>
      <w:sz w:val="16"/>
      <w:szCs w:val="16"/>
    </w:rPr>
  </w:style>
  <w:style w:type="paragraph" w:customStyle="1" w:styleId="blockblock-3c">
    <w:name w:val="block__block-3c"/>
    <w:basedOn w:val="a"/>
    <w:rsid w:val="0075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793275"/>
  </w:style>
  <w:style w:type="character" w:styleId="a6">
    <w:name w:val="Strong"/>
    <w:basedOn w:val="a0"/>
    <w:uiPriority w:val="22"/>
    <w:qFormat/>
    <w:rsid w:val="00793275"/>
    <w:rPr>
      <w:b/>
      <w:bCs/>
    </w:rPr>
  </w:style>
  <w:style w:type="character" w:styleId="a7">
    <w:name w:val="Emphasis"/>
    <w:basedOn w:val="a0"/>
    <w:uiPriority w:val="20"/>
    <w:qFormat/>
    <w:rsid w:val="00793275"/>
    <w:rPr>
      <w:i/>
      <w:iCs/>
    </w:rPr>
  </w:style>
  <w:style w:type="character" w:customStyle="1" w:styleId="slogan">
    <w:name w:val="slogan"/>
    <w:basedOn w:val="a0"/>
    <w:rsid w:val="00793275"/>
  </w:style>
  <w:style w:type="character" w:customStyle="1" w:styleId="city">
    <w:name w:val="city"/>
    <w:basedOn w:val="a0"/>
    <w:rsid w:val="00793275"/>
  </w:style>
  <w:style w:type="character" w:customStyle="1" w:styleId="street">
    <w:name w:val="street"/>
    <w:basedOn w:val="a0"/>
    <w:rsid w:val="00793275"/>
  </w:style>
  <w:style w:type="character" w:customStyle="1" w:styleId="number">
    <w:name w:val="number"/>
    <w:basedOn w:val="a0"/>
    <w:rsid w:val="00793275"/>
  </w:style>
  <w:style w:type="paragraph" w:styleId="a8">
    <w:name w:val="Normal (Web)"/>
    <w:basedOn w:val="a"/>
    <w:uiPriority w:val="99"/>
    <w:semiHidden/>
    <w:unhideWhenUsed/>
    <w:rsid w:val="00485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5659">
              <w:marLeft w:val="0"/>
              <w:marRight w:val="0"/>
              <w:marTop w:val="16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5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849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421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82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92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5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737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212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194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539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4854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376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51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9608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8284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746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362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004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358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311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7047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7277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697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7993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49126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6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14581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4454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200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4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7335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01996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3098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04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6532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90235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5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10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65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692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762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85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72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30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259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7894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193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809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99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751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2330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1733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917980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4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01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3299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2220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8818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964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614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3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860947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33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8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40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53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579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740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311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898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775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799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274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286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6505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2308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8687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3509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815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4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473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57469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03676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1278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120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546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91532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95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17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10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88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674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680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35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205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0486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048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150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4141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2551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2350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7116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65545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4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5163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09030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0568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5214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20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95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633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1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28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1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7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30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70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512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436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880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209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316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219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211021">
                                                                                  <w:marLeft w:val="160"/>
                                                                                  <w:marRight w:val="160"/>
                                                                                  <w:marTop w:val="0"/>
                                                                                  <w:marBottom w:val="7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9405538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4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87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80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03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4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95491">
                                  <w:marLeft w:val="0"/>
                                  <w:marRight w:val="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687241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8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89139879384" TargetMode="External"/><Relationship Id="rId4" Type="http://schemas.openxmlformats.org/officeDocument/2006/relationships/hyperlink" Target="https://advokat-lutovin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2024-04-27T05:54:00Z</dcterms:created>
  <dcterms:modified xsi:type="dcterms:W3CDTF">2024-04-27T06:40:00Z</dcterms:modified>
</cp:coreProperties>
</file>